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Проектно-сметное дело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Проектно-сметное дело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74"/>
        <w:gridCol w:w="497"/>
        <w:gridCol w:w="1491"/>
        <w:gridCol w:w="1729"/>
        <w:gridCol w:w="1467"/>
        <w:gridCol w:w="4788"/>
        <w:gridCol w:w="972"/>
      </w:tblGrid>
      <w:tr>
        <w:trPr>
          <w:trHeight w:val="416" w:hRule="auto"/>
          <w:jc w:val="left"/>
        </w:trPr>
        <w:tc>
          <w:tcPr>
            <w:tcW w:w="449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625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50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Целью освоения дисциплины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Проектно-сметное дело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является теоретическая и практическая подготовка студентов в области проектно-сметного дела в современных условиях.</w:t>
            </w:r>
          </w:p>
        </w:tc>
      </w:tr>
      <w:tr>
        <w:trPr>
          <w:trHeight w:val="28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Задачи дисциплины:</w:t>
            </w:r>
          </w:p>
        </w:tc>
      </w:tr>
      <w:tr>
        <w:trPr>
          <w:trHeight w:val="72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обеспечение необходимого объема теоретических и практических знаний в области организационно-технических мероприятий по подготовке предпроектной, исходно-разрешительной документации, технического нормирования;</w:t>
            </w:r>
          </w:p>
        </w:tc>
      </w:tr>
      <w:tr>
        <w:trPr>
          <w:trHeight w:val="72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1.4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 и источников инвестиций, условий и порядка согласования экспертизы и утверждения проектно-сметной документации, а также по формированию проектно-сметной документации, нормированию цен на проектную и строительную продукцию инвестора.</w:t>
            </w:r>
          </w:p>
        </w:tc>
      </w:tr>
      <w:tr>
        <w:trPr>
          <w:trHeight w:val="277" w:hRule="auto"/>
          <w:jc w:val="left"/>
        </w:trPr>
        <w:tc>
          <w:tcPr>
            <w:tcW w:w="7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2762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8956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</w:t>
            </w:r>
          </w:p>
        </w:tc>
      </w:tr>
      <w:tr>
        <w:trPr>
          <w:trHeight w:val="27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72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дисциплины предполагает предварительное освоение дисциплины "Информационные системы и технологии", "Механика деформируемого твердого тела", "Обслуживание и ремонт технических средств и сетей коммунального хозяйства"</w:t>
            </w:r>
          </w:p>
        </w:tc>
      </w:tr>
      <w:tr>
        <w:trPr>
          <w:trHeight w:val="507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auto"/>
          <w:jc w:val="left"/>
        </w:trPr>
        <w:tc>
          <w:tcPr>
            <w:tcW w:w="77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1094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Производственная (научно-исследовательская) практика</w:t>
            </w:r>
          </w:p>
        </w:tc>
      </w:tr>
      <w:tr>
        <w:trPr>
          <w:trHeight w:val="277" w:hRule="auto"/>
          <w:jc w:val="left"/>
        </w:trPr>
        <w:tc>
          <w:tcPr>
            <w:tcW w:w="7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ПК-24: способностью организовывать учебно-производственный (профессиональный) процесс через производительный труд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основную 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элементарные  вопросы теории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основную  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элементарные  вопросы теории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использовать 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использовать основную  теорию экономических знаний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элементарные  вопросы теории экономических знаний</w:t>
            </w:r>
          </w:p>
        </w:tc>
      </w:tr>
      <w:tr>
        <w:trPr>
          <w:trHeight w:val="286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нормативную документацию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основную нормативную документацию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некоторую нормативную документацию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нормативной документацией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основной нормативной документацией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некоторой нормативнорй документацией проектно-сметного дела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по составлению проектно-сметной документации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по составлению проектно-сметной документации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по составлению проектно-сметной документации</w:t>
            </w:r>
          </w:p>
        </w:tc>
      </w:tr>
      <w:tr>
        <w:trPr>
          <w:trHeight w:val="481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</w:tr>
      <w:tr>
        <w:trPr>
          <w:trHeight w:val="277" w:hRule="auto"/>
          <w:jc w:val="left"/>
        </w:trPr>
        <w:tc>
          <w:tcPr>
            <w:tcW w:w="11718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71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47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информационные и коммуникационные технологии при составлении смет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49"/>
        <w:gridCol w:w="934"/>
        <w:gridCol w:w="285"/>
        <w:gridCol w:w="3081"/>
        <w:gridCol w:w="940"/>
        <w:gridCol w:w="681"/>
        <w:gridCol w:w="1096"/>
        <w:gridCol w:w="1253"/>
        <w:gridCol w:w="660"/>
        <w:gridCol w:w="382"/>
        <w:gridCol w:w="965"/>
      </w:tblGrid>
      <w:tr>
        <w:trPr>
          <w:trHeight w:val="416" w:hRule="auto"/>
          <w:jc w:val="left"/>
        </w:trPr>
        <w:tc>
          <w:tcPr>
            <w:tcW w:w="504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информационные и коммуникационные технологии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информационные и коммуникационные технологии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1026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информационными и коммуникационными технологиями 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основными  информационными и коммуникационными технологиями 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некоторыми  информационными и коммуникационными технологиями 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1026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по применению информационных технологий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по применению информационных технологий при составлении смет</w:t>
            </w:r>
          </w:p>
        </w:tc>
      </w:tr>
      <w:tr>
        <w:trPr>
          <w:trHeight w:val="277" w:hRule="auto"/>
          <w:jc w:val="left"/>
        </w:trPr>
        <w:tc>
          <w:tcPr>
            <w:tcW w:w="196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58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по применению информационных технологий при составлении смет</w:t>
            </w:r>
          </w:p>
        </w:tc>
      </w:tr>
      <w:tr>
        <w:trPr>
          <w:trHeight w:val="416" w:hRule="auto"/>
          <w:jc w:val="left"/>
        </w:trPr>
        <w:tc>
          <w:tcPr>
            <w:tcW w:w="11026" w:type="dxa"/>
            <w:gridSpan w:val="11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методики и действующую нормативную и правовую базы в области проектно-сметного дела;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инструментальные средства для обработки экономических данных в соответствии с поставленной задачей</w:t>
            </w:r>
          </w:p>
        </w:tc>
      </w:tr>
      <w:tr>
        <w:trPr>
          <w:trHeight w:val="27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формировать и оценивать предпроектную, исходно-разрешительную документацию;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3.2.2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анализировать формы и источники инвестиций при реализации инвестиционных проектов;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3.2.3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стоимость проектных и изыскательских работ</w:t>
            </w:r>
          </w:p>
        </w:tc>
      </w:tr>
      <w:tr>
        <w:trPr>
          <w:trHeight w:val="27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8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техникой работы с нормативными правовыми документами в области проектно-сметного дела;</w:t>
            </w:r>
          </w:p>
        </w:tc>
      </w:tr>
      <w:tr>
        <w:trPr>
          <w:trHeight w:val="507" w:hRule="auto"/>
          <w:jc w:val="left"/>
        </w:trPr>
        <w:tc>
          <w:tcPr>
            <w:tcW w:w="74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3.3.2</w:t>
            </w:r>
          </w:p>
        </w:tc>
        <w:tc>
          <w:tcPr>
            <w:tcW w:w="1027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выбора инструментальных средств для обработки экономических данных в соответствии с поставленных задачей и анализа результатов расчетов</w:t>
            </w:r>
          </w:p>
        </w:tc>
      </w:tr>
      <w:tr>
        <w:trPr>
          <w:trHeight w:val="277" w:hRule="auto"/>
          <w:jc w:val="left"/>
        </w:trPr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026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  <w:tr>
        <w:trPr>
          <w:trHeight w:val="69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Организация инвестиционно-строительной деятельности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понятия об инвестиционной деятельности /Лек/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39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понятия об инвестиционной деятельности /Пр/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0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Циклы инвестиционного проекта /Пр/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1.4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Инвестиционная фаза /Пр/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Нормирование в строительстве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85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Техническое нормирование /Лек/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Сметное нормирование /Пр/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Правила определения сметной стоимости строительства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определения сметной стоимости продукции в условиях рыночных отношениях /Лек/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7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Индексация сметной стоимости /Лек/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элементы сметной стоимости /Пр/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ПК-24; ПК-25; ПК-30</w:t>
            </w: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Л1.2Л2.2Л3.1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16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4. Порядок и правила состав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¬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лении сметной документации 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строительную продукции</w:t>
            </w:r>
          </w:p>
        </w:tc>
        <w:tc>
          <w:tcPr>
            <w:tcW w:w="9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15"/>
        <w:gridCol w:w="268"/>
        <w:gridCol w:w="1614"/>
        <w:gridCol w:w="1811"/>
        <w:gridCol w:w="894"/>
        <w:gridCol w:w="645"/>
        <w:gridCol w:w="1070"/>
        <w:gridCol w:w="710"/>
        <w:gridCol w:w="580"/>
        <w:gridCol w:w="653"/>
        <w:gridCol w:w="380"/>
        <w:gridCol w:w="934"/>
      </w:tblGrid>
      <w:tr>
        <w:trPr>
          <w:trHeight w:val="416" w:hRule="auto"/>
          <w:jc w:val="left"/>
        </w:trPr>
        <w:tc>
          <w:tcPr>
            <w:tcW w:w="4408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697" w:hRule="auto"/>
          <w:jc w:val="left"/>
        </w:trPr>
        <w:tc>
          <w:tcPr>
            <w:tcW w:w="9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4.1</w:t>
            </w:r>
          </w:p>
        </w:tc>
        <w:tc>
          <w:tcPr>
            <w:tcW w:w="342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Локальная смета /Пр/</w:t>
            </w:r>
          </w:p>
        </w:tc>
        <w:tc>
          <w:tcPr>
            <w:tcW w:w="89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ОК-2 ОК-5</w:t>
            </w:r>
          </w:p>
        </w:tc>
        <w:tc>
          <w:tcPr>
            <w:tcW w:w="12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4.2</w:t>
            </w:r>
          </w:p>
        </w:tc>
        <w:tc>
          <w:tcPr>
            <w:tcW w:w="342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Объектная смета /Ср/</w:t>
            </w:r>
          </w:p>
        </w:tc>
        <w:tc>
          <w:tcPr>
            <w:tcW w:w="89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ОК-2 ОК-5 ПК-7</w:t>
            </w:r>
          </w:p>
        </w:tc>
        <w:tc>
          <w:tcPr>
            <w:tcW w:w="12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Л1.2Л2.2Л3.1</w:t>
            </w:r>
          </w:p>
        </w:tc>
        <w:tc>
          <w:tcPr>
            <w:tcW w:w="6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4.3</w:t>
            </w:r>
          </w:p>
        </w:tc>
        <w:tc>
          <w:tcPr>
            <w:tcW w:w="342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Сводный сметный расчет стоимости строительства и договорные цены /Ср/</w:t>
            </w:r>
          </w:p>
        </w:tc>
        <w:tc>
          <w:tcPr>
            <w:tcW w:w="89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ОК-2 ОК-5 ПК-7</w:t>
            </w:r>
          </w:p>
        </w:tc>
        <w:tc>
          <w:tcPr>
            <w:tcW w:w="12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5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6631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к экзамену (4 курс)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Сущность и классификация инвестиции.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Субъект и объект инвестиционной деятельности.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Фазы инвестиционного цикла.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Стадийность проектирования.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Инженерные изыскания в строительстве.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Порядок и правила экспертизы и утверждения проектно-сметной документации.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Формы организации и управления строительством.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Формы организации строительных предприятий.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Рабочее время и время заботы рабочих и строительных машин.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наблюдений в строительстве.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Сметные нормы и нормативы.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Сущность, состав и структуры элементных сметных норм.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Сметная стоимость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Ресурсный метод определения стоимости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Ресурсно-индексный метод определения стоимости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Базисно-индексный метод определения стоимости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Определение сметных цен на материалы, изделия и конструкции.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Определение затрат па оплату труда рабочих.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Определение стоимости эксплуатации строительных машин.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Определение стоимости оборудования, мебели и инвентаря.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Накладные расходы.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Сметная прибыль.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Сметная прибыль.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определения и применения индексов цен на строительную продукцию.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сметной документации в строительстве.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Локальные сметные расчеты (сметы).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Объектные сметные расчета (сметы).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Сводный сметный расчет стоимости строительства.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</w:t>
            </w: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130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47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917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18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Королева, М.А.</w:t>
            </w:r>
          </w:p>
        </w:tc>
        <w:tc>
          <w:tcPr>
            <w:tcW w:w="5130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Ценообразование и сметное нормирование в строительстве : учебное пособие / М.А. Королева ; Министерство образования и науки Российской Федерации, Уральский федеральный университет им. первого Президента России Б. Н. Ельцина. - 2-е изд., доп. и перераб. - Екатеринбург : Издательство Уральского университета, 2014. - 265 с. : ил., табл., схем. - Библиогр. в кн. - ISBN 978-5-7996-1224-5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http://biblioclub.ru/index.php?page=book&amp;id=275808</w:t>
              </w:r>
            </w:hyperlink>
          </w:p>
        </w:tc>
        <w:tc>
          <w:tcPr>
            <w:tcW w:w="2547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Издательство Уральского университета, 2014</w:t>
            </w:r>
          </w:p>
        </w:tc>
      </w:tr>
      <w:tr>
        <w:trPr>
          <w:trHeight w:val="917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18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Гаврилов Д.А.</w:t>
            </w:r>
          </w:p>
        </w:tc>
        <w:tc>
          <w:tcPr>
            <w:tcW w:w="5130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Документация в строительстве : учебно-справочное пособие / Л.Р. Маилян, Т.А. Хежев, Х.А. Хежев, А.Л. Маилян. - Ростов-на-Дону 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2011. - 304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 : табл. - (Строительство и дизайн). - Библиогр. в кн. - ISBN 978-5-222-18574-2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http://biblioclub.ru/index.php?page=book&amp;id=271549</w:t>
              </w:r>
            </w:hyperlink>
          </w:p>
        </w:tc>
        <w:tc>
          <w:tcPr>
            <w:tcW w:w="2547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Москва: Альфа-М; ИНФРА- М, 2016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130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47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58"/>
        <w:gridCol w:w="1890"/>
        <w:gridCol w:w="1837"/>
        <w:gridCol w:w="3103"/>
        <w:gridCol w:w="1693"/>
        <w:gridCol w:w="993"/>
      </w:tblGrid>
      <w:tr>
        <w:trPr>
          <w:trHeight w:val="416" w:hRule="auto"/>
          <w:jc w:val="left"/>
        </w:trPr>
        <w:tc>
          <w:tcPr>
            <w:tcW w:w="448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3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27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494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68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189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Вохмин, С.А.</w:t>
            </w:r>
          </w:p>
        </w:tc>
        <w:tc>
          <w:tcPr>
            <w:tcW w:w="494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Основы проектно-сметного дела : учебное пособие / С.А. Вохмин, Г.С. Курчин, Д.А. Урбаев. - Красноярск : Сибирский федеральный университет, 2012. - 130 с. - ISBN 978-5-7638-2406-3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http://biblioclub.ru/index.php?page=book&amp;id=229642</w:t>
              </w:r>
            </w:hyperlink>
          </w:p>
        </w:tc>
        <w:tc>
          <w:tcPr>
            <w:tcW w:w="268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Красноярск : Сибирский федеральный университет, 2012</w:t>
            </w:r>
          </w:p>
        </w:tc>
      </w:tr>
      <w:tr>
        <w:trPr>
          <w:trHeight w:val="69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189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Л.Р. Маилян, Т.А. Хежев, </w:t>
            </w:r>
          </w:p>
        </w:tc>
        <w:tc>
          <w:tcPr>
            <w:tcW w:w="494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Документация в строительстве : учебно-справочное пособие / Л.Р. Маилян, Т.А. Хежев, Х.А. Хежев, А.Л. Маилян. - Ростов-на-Дону 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2011. - 304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 : табл. - (Строительство и дизайн). - Библиогр. в кн. - ISBN 978-5-222-18574-2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http://biblioclub.ru/index.php?page=book&amp;id=271549</w:t>
              </w:r>
            </w:hyperlink>
          </w:p>
        </w:tc>
        <w:tc>
          <w:tcPr>
            <w:tcW w:w="268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2011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            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  <w:tr>
        <w:trPr>
          <w:trHeight w:val="27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494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68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91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189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Нешитой А. С.</w:t>
            </w:r>
          </w:p>
        </w:tc>
        <w:tc>
          <w:tcPr>
            <w:tcW w:w="494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Инвестиции:  учебник</w:t>
            </w:r>
          </w:p>
        </w:tc>
        <w:tc>
          <w:tcPr>
            <w:tcW w:w="268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Дашков и Ко, , 2014,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? page=book_red&amp;id=255782&amp;sr =1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ресурсов информационно-телекоммуникационной сети "Интернет"</w:t>
            </w:r>
          </w:p>
        </w:tc>
      </w:tr>
      <w:tr>
        <w:trPr>
          <w:trHeight w:val="478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Проектное дело в строительстве : [учеб. пособие] / Ю. В. Аникин, Н. С. Царев ; [науч. ред. В. И. Аксенов] ; М-во образования и науки Рос.Федерации, Урал. федер. ун-т.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Изд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‑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 Урал. ун-та, 2015.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124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</w:t>
            </w:r>
          </w:p>
        </w:tc>
      </w:tr>
      <w:tr>
        <w:trPr>
          <w:trHeight w:val="478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Гавриш, В. В. Экономика дорожного строительства. Часть 2 : в 2ч. [Электронный ресурс] : учеб. пособие / В. В. Гавриш. - Красноярск: Сиб. федер. ун-т, 2013. - 348 с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http://www.biblioclub.ru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http://www.elibrary.ru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http://www.ebiblioteka.ru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  <w:tr>
        <w:trPr>
          <w:trHeight w:val="72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val="279" w:hRule="auto"/>
          <w:jc w:val="left"/>
        </w:trPr>
        <w:tc>
          <w:tcPr>
            <w:tcW w:w="7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516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мультимедийное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113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Рейтинговая система оценки качества подготовки студентов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https://www.mininuniver.ru/scientific/education/docs/ump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 нормативный документ - Положение о рейтинговой оценке качества подготовки студентов.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271549" Id="docRId3" Type="http://schemas.openxmlformats.org/officeDocument/2006/relationships/hyperlink" /><Relationship TargetMode="External" Target="http://www.ebiblioteka.ru/" Id="docRId7" Type="http://schemas.openxmlformats.org/officeDocument/2006/relationships/hyperlink" /><Relationship TargetMode="External" Target="http://biblioclub.ru/index.php?page=book&amp;id=275808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://biblioclub.ru/index.php?page=book&amp;id=229642" Id="docRId2" Type="http://schemas.openxmlformats.org/officeDocument/2006/relationships/hyperlink" /><Relationship TargetMode="External" Target="http://biblioclub.ru/index.php" Id="docRId4" Type="http://schemas.openxmlformats.org/officeDocument/2006/relationships/hyperlink" /><Relationship TargetMode="External" Target="http://www.elibrary.ru/" Id="docRId6" Type="http://schemas.openxmlformats.org/officeDocument/2006/relationships/hyperlink" /><Relationship TargetMode="External" Target="https://www.mininuniver.ru/scientific/education/docs/ump" Id="docRId8" Type="http://schemas.openxmlformats.org/officeDocument/2006/relationships/hyperlink" /><Relationship TargetMode="External" Target="http://biblioclub.ru/index.php?page=book&amp;id=271549" Id="docRId1" Type="http://schemas.openxmlformats.org/officeDocument/2006/relationships/hyperlink" /><Relationship TargetMode="External" Target="http://www.biblioclub.ru/" Id="docRId5" Type="http://schemas.openxmlformats.org/officeDocument/2006/relationships/hyperlink" /><Relationship Target="numbering.xml" Id="docRId9" Type="http://schemas.openxmlformats.org/officeDocument/2006/relationships/numbering" /></Relationships>
</file>